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9AAE3" w14:textId="77777777" w:rsidR="006711D1" w:rsidRDefault="002F7FAD" w:rsidP="00A31B18">
      <w:pPr>
        <w:pStyle w:val="Heading1"/>
        <w:rPr>
          <w:rFonts w:ascii="Arial" w:hAnsi="Arial"/>
          <w:b/>
          <w:sz w:val="20"/>
        </w:rPr>
      </w:pPr>
      <w:r>
        <w:rPr>
          <w:rFonts w:ascii="Arial" w:hAnsi="Arial"/>
          <w:b/>
          <w:noProof/>
          <w:sz w:val="20"/>
        </w:rPr>
        <w:drawing>
          <wp:inline distT="0" distB="0" distL="0" distR="0" wp14:anchorId="6939D3DC" wp14:editId="6A817FA7">
            <wp:extent cx="1695450" cy="695325"/>
            <wp:effectExtent l="0" t="0" r="0" b="9525"/>
            <wp:docPr id="2" name="Picture 2" descr="C:\Users\katie.kiter\Desktop\NACUFS_Logo_tag_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kiter\Desktop\NACUFS_Logo_tag_4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695325"/>
                    </a:xfrm>
                    <a:prstGeom prst="rect">
                      <a:avLst/>
                    </a:prstGeom>
                    <a:noFill/>
                    <a:ln>
                      <a:noFill/>
                    </a:ln>
                  </pic:spPr>
                </pic:pic>
              </a:graphicData>
            </a:graphic>
          </wp:inline>
        </w:drawing>
      </w:r>
      <w:r w:rsidR="00A31B18">
        <w:rPr>
          <w:rFonts w:ascii="Arial" w:hAnsi="Arial"/>
          <w:b/>
          <w:sz w:val="20"/>
        </w:rPr>
        <w:t xml:space="preserve">      </w:t>
      </w:r>
      <w:r w:rsidR="00A31B18">
        <w:rPr>
          <w:rFonts w:ascii="Arial" w:hAnsi="Arial"/>
          <w:b/>
          <w:sz w:val="20"/>
        </w:rPr>
        <w:tab/>
      </w:r>
    </w:p>
    <w:p w14:paraId="640D7FC8" w14:textId="77777777" w:rsidR="006711D1" w:rsidRDefault="006711D1" w:rsidP="00A31B18">
      <w:pPr>
        <w:pStyle w:val="Heading1"/>
        <w:rPr>
          <w:rFonts w:ascii="Arial" w:hAnsi="Arial"/>
          <w:b/>
          <w:sz w:val="20"/>
        </w:rPr>
      </w:pPr>
    </w:p>
    <w:p w14:paraId="74EC1A22" w14:textId="16CE9134" w:rsidR="001C13D8" w:rsidRDefault="00703B09" w:rsidP="00A31B18">
      <w:pPr>
        <w:pStyle w:val="Heading1"/>
        <w:rPr>
          <w:rFonts w:ascii="Arial" w:hAnsi="Arial"/>
          <w:b/>
          <w:sz w:val="28"/>
          <w:szCs w:val="28"/>
        </w:rPr>
      </w:pPr>
      <w:r w:rsidRPr="00703B09">
        <w:rPr>
          <w:rFonts w:ascii="Arial" w:hAnsi="Arial"/>
          <w:b/>
          <w:sz w:val="28"/>
          <w:szCs w:val="28"/>
        </w:rPr>
        <w:t>NACUFS</w:t>
      </w:r>
      <w:r>
        <w:rPr>
          <w:rFonts w:ascii="Arial" w:hAnsi="Arial"/>
          <w:b/>
          <w:sz w:val="20"/>
        </w:rPr>
        <w:t xml:space="preserve"> </w:t>
      </w:r>
      <w:r w:rsidR="001D21C0">
        <w:rPr>
          <w:rFonts w:ascii="Arial" w:hAnsi="Arial"/>
          <w:b/>
          <w:sz w:val="28"/>
          <w:szCs w:val="28"/>
        </w:rPr>
        <w:t>Priority Point System</w:t>
      </w:r>
    </w:p>
    <w:p w14:paraId="7E517A52" w14:textId="77777777" w:rsidR="001D21C0" w:rsidRDefault="001D21C0" w:rsidP="001D21C0"/>
    <w:p w14:paraId="20B37B92" w14:textId="3DACEC6E" w:rsidR="001C13D8" w:rsidRDefault="001A0FAB">
      <w:pPr>
        <w:pStyle w:val="BodyText2"/>
        <w:rPr>
          <w:rFonts w:ascii="Arial" w:hAnsi="Arial"/>
          <w:sz w:val="20"/>
        </w:rPr>
      </w:pPr>
      <w:r>
        <w:rPr>
          <w:rFonts w:ascii="Arial" w:hAnsi="Arial"/>
          <w:sz w:val="20"/>
        </w:rPr>
        <w:t xml:space="preserve">The Priority Point System is intended to incentivize industry member’s showcase participation, membership, and total annual sponsorship. This system will </w:t>
      </w:r>
      <w:r w:rsidR="00FB2E0F">
        <w:rPr>
          <w:rFonts w:ascii="Arial" w:hAnsi="Arial"/>
          <w:sz w:val="20"/>
        </w:rPr>
        <w:t xml:space="preserve">accurately reflect the frequency and the volume or degree of participation in the activities of the Association by industry manufacturers, distributors, consultants, and other firms participating in NACUFS </w:t>
      </w:r>
      <w:r w:rsidR="00E04A4E">
        <w:rPr>
          <w:rFonts w:ascii="Arial" w:hAnsi="Arial"/>
          <w:sz w:val="20"/>
        </w:rPr>
        <w:t xml:space="preserve">events. </w:t>
      </w:r>
      <w:r w:rsidR="00C95445" w:rsidRPr="00C95445">
        <w:rPr>
          <w:rFonts w:ascii="Arial" w:hAnsi="Arial"/>
          <w:sz w:val="20"/>
        </w:rPr>
        <w:t xml:space="preserve">A firm’s priority point total is used to place the firm in rank order for initial priority assignment of the national showcase. </w:t>
      </w:r>
      <w:r w:rsidR="00E04A4E">
        <w:rPr>
          <w:rFonts w:ascii="Arial" w:hAnsi="Arial"/>
          <w:sz w:val="20"/>
        </w:rPr>
        <w:t>It is established and maintained by the Association for its own guidance.</w:t>
      </w:r>
    </w:p>
    <w:p w14:paraId="2D70653C" w14:textId="77777777" w:rsidR="00E04A4E" w:rsidRDefault="00E04A4E">
      <w:pPr>
        <w:pStyle w:val="BodyText2"/>
        <w:rPr>
          <w:rFonts w:ascii="Arial" w:hAnsi="Arial"/>
          <w:sz w:val="20"/>
        </w:rPr>
      </w:pPr>
    </w:p>
    <w:p w14:paraId="0F09521B" w14:textId="48AFE7D9" w:rsidR="001C13D8" w:rsidRPr="00A31B18" w:rsidRDefault="00E04A4E" w:rsidP="00E04A4E">
      <w:pPr>
        <w:pStyle w:val="BodyText2"/>
        <w:rPr>
          <w:rFonts w:ascii="Arial" w:hAnsi="Arial"/>
        </w:rPr>
      </w:pPr>
      <w:r>
        <w:rPr>
          <w:rFonts w:ascii="Arial" w:hAnsi="Arial"/>
          <w:sz w:val="20"/>
        </w:rPr>
        <w:t>Each firm that</w:t>
      </w:r>
      <w:r w:rsidR="00DE5F55">
        <w:rPr>
          <w:rFonts w:ascii="Arial" w:hAnsi="Arial"/>
          <w:sz w:val="20"/>
        </w:rPr>
        <w:t xml:space="preserve"> joins NACUFS and </w:t>
      </w:r>
      <w:r>
        <w:rPr>
          <w:rFonts w:ascii="Arial" w:hAnsi="Arial"/>
          <w:sz w:val="20"/>
        </w:rPr>
        <w:t xml:space="preserve">participates in </w:t>
      </w:r>
      <w:r w:rsidR="00DE5F55">
        <w:rPr>
          <w:rFonts w:ascii="Arial" w:hAnsi="Arial"/>
          <w:sz w:val="20"/>
        </w:rPr>
        <w:t>its</w:t>
      </w:r>
      <w:r>
        <w:rPr>
          <w:rFonts w:ascii="Arial" w:hAnsi="Arial"/>
          <w:sz w:val="20"/>
        </w:rPr>
        <w:t xml:space="preserve"> events has a priority point total in the Association’s record</w:t>
      </w:r>
      <w:r w:rsidR="00DE5F55">
        <w:rPr>
          <w:rFonts w:ascii="Arial" w:hAnsi="Arial"/>
          <w:sz w:val="20"/>
        </w:rPr>
        <w:t>s</w:t>
      </w:r>
      <w:r>
        <w:rPr>
          <w:rFonts w:ascii="Arial" w:hAnsi="Arial"/>
          <w:sz w:val="20"/>
        </w:rPr>
        <w:t>. These priority points are c</w:t>
      </w:r>
      <w:r w:rsidR="001A0FAB">
        <w:rPr>
          <w:rFonts w:ascii="Arial" w:hAnsi="Arial"/>
          <w:sz w:val="20"/>
        </w:rPr>
        <w:t>umulative for the most recent 3-</w:t>
      </w:r>
      <w:r>
        <w:rPr>
          <w:rFonts w:ascii="Arial" w:hAnsi="Arial"/>
          <w:sz w:val="20"/>
        </w:rPr>
        <w:t>year period.</w:t>
      </w:r>
      <w:r w:rsidR="00DE5F55">
        <w:rPr>
          <w:rFonts w:ascii="Arial" w:hAnsi="Arial"/>
          <w:sz w:val="20"/>
        </w:rPr>
        <w:t xml:space="preserve"> Points are earned using the accrual chart below.</w:t>
      </w:r>
    </w:p>
    <w:p w14:paraId="739FA1B5" w14:textId="77777777" w:rsidR="001C13D8" w:rsidRPr="00A31B18" w:rsidRDefault="001C13D8">
      <w:pPr>
        <w:rPr>
          <w:rFonts w:ascii="Arial" w:hAnsi="Arial"/>
        </w:rPr>
      </w:pPr>
    </w:p>
    <w:p w14:paraId="4E0B9D08" w14:textId="77777777" w:rsidR="001C13D8" w:rsidRPr="00A31B18" w:rsidRDefault="001C13D8">
      <w:pPr>
        <w:pStyle w:val="Heading2"/>
        <w:rPr>
          <w:rFonts w:ascii="Arial" w:hAnsi="Arial"/>
          <w:b/>
          <w:sz w:val="20"/>
          <w:u w:val="none"/>
        </w:rPr>
      </w:pPr>
      <w:r w:rsidRPr="00A31B18">
        <w:rPr>
          <w:rFonts w:ascii="Arial" w:hAnsi="Arial"/>
          <w:b/>
          <w:sz w:val="20"/>
          <w:u w:val="none"/>
        </w:rPr>
        <w:t>Priority Point Accrual</w:t>
      </w:r>
    </w:p>
    <w:p w14:paraId="2E94148C" w14:textId="77777777" w:rsidR="001C13D8" w:rsidRPr="00A31B18" w:rsidRDefault="001C13D8"/>
    <w:p w14:paraId="01E51422" w14:textId="6EF27EA4" w:rsidR="001C13D8" w:rsidRPr="00A31B18" w:rsidRDefault="001C13D8">
      <w:pPr>
        <w:numPr>
          <w:ilvl w:val="0"/>
          <w:numId w:val="3"/>
        </w:numPr>
        <w:tabs>
          <w:tab w:val="left" w:pos="-720"/>
          <w:tab w:val="left" w:pos="1170"/>
        </w:tabs>
        <w:suppressAutoHyphens/>
        <w:rPr>
          <w:rFonts w:ascii="Arial" w:hAnsi="Arial"/>
        </w:rPr>
      </w:pPr>
      <w:r w:rsidRPr="00A31B18">
        <w:rPr>
          <w:rFonts w:ascii="Arial" w:hAnsi="Arial"/>
        </w:rPr>
        <w:t xml:space="preserve">Point for </w:t>
      </w:r>
      <w:r w:rsidR="00E04A4E">
        <w:rPr>
          <w:rFonts w:ascii="Arial" w:hAnsi="Arial"/>
        </w:rPr>
        <w:t>exhibiting</w:t>
      </w:r>
      <w:r w:rsidRPr="00A31B18">
        <w:rPr>
          <w:rFonts w:ascii="Arial" w:hAnsi="Arial"/>
        </w:rPr>
        <w:t xml:space="preserve"> at the national showcase</w:t>
      </w:r>
      <w:r w:rsidR="00E65244">
        <w:rPr>
          <w:rFonts w:ascii="Arial" w:hAnsi="Arial"/>
        </w:rPr>
        <w:t>.</w:t>
      </w:r>
    </w:p>
    <w:p w14:paraId="4C420496" w14:textId="77777777" w:rsidR="001C13D8" w:rsidRPr="00A31B18" w:rsidRDefault="001C13D8">
      <w:pPr>
        <w:tabs>
          <w:tab w:val="left" w:pos="-720"/>
          <w:tab w:val="left" w:pos="720"/>
          <w:tab w:val="left" w:pos="1170"/>
        </w:tabs>
        <w:suppressAutoHyphens/>
        <w:rPr>
          <w:rFonts w:ascii="Arial" w:hAnsi="Arial"/>
        </w:rPr>
      </w:pPr>
    </w:p>
    <w:p w14:paraId="1BB6DD17" w14:textId="543AAA63" w:rsidR="001C13D8" w:rsidRPr="00A31B18" w:rsidRDefault="001C13D8">
      <w:pPr>
        <w:numPr>
          <w:ilvl w:val="0"/>
          <w:numId w:val="4"/>
        </w:numPr>
        <w:tabs>
          <w:tab w:val="left" w:pos="-720"/>
          <w:tab w:val="left" w:pos="1170"/>
        </w:tabs>
        <w:suppressAutoHyphens/>
        <w:rPr>
          <w:rFonts w:ascii="Arial" w:hAnsi="Arial"/>
        </w:rPr>
      </w:pPr>
      <w:r w:rsidRPr="00A31B18">
        <w:rPr>
          <w:rFonts w:ascii="Arial" w:hAnsi="Arial"/>
        </w:rPr>
        <w:t xml:space="preserve">Point for </w:t>
      </w:r>
      <w:r w:rsidR="001A0FAB">
        <w:rPr>
          <w:rFonts w:ascii="Arial" w:hAnsi="Arial"/>
        </w:rPr>
        <w:t>annual industry m</w:t>
      </w:r>
      <w:r w:rsidRPr="00A31B18">
        <w:rPr>
          <w:rFonts w:ascii="Arial" w:hAnsi="Arial"/>
        </w:rPr>
        <w:t>ember</w:t>
      </w:r>
      <w:r w:rsidR="001A0FAB">
        <w:rPr>
          <w:rFonts w:ascii="Arial" w:hAnsi="Arial"/>
        </w:rPr>
        <w:t>ship</w:t>
      </w:r>
      <w:r w:rsidR="00E65244">
        <w:rPr>
          <w:rFonts w:ascii="Arial" w:hAnsi="Arial"/>
        </w:rPr>
        <w:t>.</w:t>
      </w:r>
    </w:p>
    <w:p w14:paraId="514C89BB" w14:textId="77777777" w:rsidR="001C13D8" w:rsidRPr="00A31B18" w:rsidRDefault="001C13D8">
      <w:pPr>
        <w:tabs>
          <w:tab w:val="left" w:pos="-720"/>
          <w:tab w:val="left" w:pos="1170"/>
        </w:tabs>
        <w:suppressAutoHyphens/>
        <w:rPr>
          <w:rFonts w:ascii="Arial" w:hAnsi="Arial"/>
        </w:rPr>
      </w:pPr>
    </w:p>
    <w:p w14:paraId="18D5468F" w14:textId="363CA78D" w:rsidR="001C13D8" w:rsidRPr="00A31B18" w:rsidRDefault="00E04A4E">
      <w:pPr>
        <w:pStyle w:val="BodyTextIndent2"/>
        <w:rPr>
          <w:sz w:val="20"/>
        </w:rPr>
      </w:pPr>
      <w:r>
        <w:rPr>
          <w:sz w:val="20"/>
        </w:rPr>
        <w:t xml:space="preserve">1 </w:t>
      </w:r>
      <w:r w:rsidR="00550D18" w:rsidRPr="00A31B18">
        <w:rPr>
          <w:sz w:val="20"/>
        </w:rPr>
        <w:tab/>
      </w:r>
      <w:r>
        <w:rPr>
          <w:sz w:val="20"/>
        </w:rPr>
        <w:t>Point per $1,</w:t>
      </w:r>
      <w:r w:rsidR="009A7DCE">
        <w:rPr>
          <w:sz w:val="20"/>
        </w:rPr>
        <w:t>000 of sponsorship investment</w:t>
      </w:r>
      <w:r w:rsidR="001A0FAB">
        <w:rPr>
          <w:sz w:val="20"/>
        </w:rPr>
        <w:t xml:space="preserve"> in the calendar year</w:t>
      </w:r>
      <w:r>
        <w:rPr>
          <w:sz w:val="20"/>
        </w:rPr>
        <w:t>.</w:t>
      </w:r>
      <w:r>
        <w:rPr>
          <w:sz w:val="20"/>
        </w:rPr>
        <w:br/>
      </w:r>
      <w:r w:rsidR="00550D18" w:rsidRPr="00DE5F55">
        <w:rPr>
          <w:i/>
          <w:sz w:val="20"/>
        </w:rPr>
        <w:t>S</w:t>
      </w:r>
      <w:r w:rsidR="001C13D8" w:rsidRPr="00DE5F55">
        <w:rPr>
          <w:i/>
          <w:sz w:val="20"/>
        </w:rPr>
        <w:t xml:space="preserve">ponsorship </w:t>
      </w:r>
      <w:r w:rsidR="00550D18" w:rsidRPr="00DE5F55">
        <w:rPr>
          <w:i/>
          <w:sz w:val="20"/>
        </w:rPr>
        <w:t>point</w:t>
      </w:r>
      <w:r w:rsidR="00C95445">
        <w:rPr>
          <w:i/>
          <w:sz w:val="20"/>
        </w:rPr>
        <w:t xml:space="preserve"> totals</w:t>
      </w:r>
      <w:r w:rsidR="00550D18" w:rsidRPr="00DE5F55">
        <w:rPr>
          <w:i/>
          <w:sz w:val="20"/>
        </w:rPr>
        <w:t xml:space="preserve"> are awarded for direct monetary sponsorships </w:t>
      </w:r>
      <w:r w:rsidR="00C95445">
        <w:rPr>
          <w:i/>
          <w:sz w:val="20"/>
        </w:rPr>
        <w:t xml:space="preserve">to NACUFS during each calendar year. </w:t>
      </w:r>
      <w:r w:rsidR="001C13D8" w:rsidRPr="00DE5F55">
        <w:rPr>
          <w:i/>
          <w:sz w:val="20"/>
        </w:rPr>
        <w:t xml:space="preserve">These include </w:t>
      </w:r>
      <w:r w:rsidR="00C95445">
        <w:rPr>
          <w:i/>
          <w:sz w:val="20"/>
        </w:rPr>
        <w:t xml:space="preserve">programs </w:t>
      </w:r>
      <w:r w:rsidR="00550D18" w:rsidRPr="00DE5F55">
        <w:rPr>
          <w:i/>
          <w:sz w:val="20"/>
        </w:rPr>
        <w:t>such as</w:t>
      </w:r>
      <w:r w:rsidR="001C13D8" w:rsidRPr="00DE5F55">
        <w:rPr>
          <w:i/>
          <w:sz w:val="20"/>
        </w:rPr>
        <w:t xml:space="preserve"> national conference, </w:t>
      </w:r>
      <w:r w:rsidR="00DE5F55" w:rsidRPr="00DE5F55">
        <w:rPr>
          <w:i/>
          <w:sz w:val="20"/>
        </w:rPr>
        <w:t xml:space="preserve">regional conferences, </w:t>
      </w:r>
      <w:r w:rsidR="001C13D8" w:rsidRPr="00DE5F55">
        <w:rPr>
          <w:i/>
          <w:sz w:val="20"/>
        </w:rPr>
        <w:t>educational institutes, workshops, seminars</w:t>
      </w:r>
      <w:r w:rsidR="00550D18" w:rsidRPr="00DE5F55">
        <w:rPr>
          <w:i/>
          <w:sz w:val="20"/>
        </w:rPr>
        <w:t>,</w:t>
      </w:r>
      <w:r w:rsidR="001C13D8" w:rsidRPr="00DE5F55">
        <w:rPr>
          <w:i/>
          <w:sz w:val="20"/>
        </w:rPr>
        <w:t xml:space="preserve"> videoconferences, publications (other than advertising), and other professional development projects. </w:t>
      </w:r>
      <w:r w:rsidR="00550D18" w:rsidRPr="00DE5F55">
        <w:rPr>
          <w:i/>
          <w:sz w:val="20"/>
        </w:rPr>
        <w:t>Program enhancement</w:t>
      </w:r>
      <w:r w:rsidR="001C13D8" w:rsidRPr="00DE5F55">
        <w:rPr>
          <w:i/>
          <w:sz w:val="20"/>
        </w:rPr>
        <w:t xml:space="preserve"> sponsorships</w:t>
      </w:r>
      <w:r w:rsidR="00C95445">
        <w:rPr>
          <w:i/>
          <w:sz w:val="20"/>
        </w:rPr>
        <w:t xml:space="preserve"> and in-kind sponsorships</w:t>
      </w:r>
      <w:r w:rsidR="001C13D8" w:rsidRPr="00DE5F55">
        <w:rPr>
          <w:i/>
          <w:sz w:val="20"/>
        </w:rPr>
        <w:t xml:space="preserve"> are not awarded points. Points are </w:t>
      </w:r>
      <w:r w:rsidR="00C95445">
        <w:rPr>
          <w:i/>
          <w:sz w:val="20"/>
        </w:rPr>
        <w:t>earned when payment is received at NACUFS.</w:t>
      </w:r>
      <w:r w:rsidR="001C13D8" w:rsidRPr="00DE5F55">
        <w:rPr>
          <w:i/>
          <w:sz w:val="20"/>
        </w:rPr>
        <w:t xml:space="preserve"> </w:t>
      </w:r>
      <w:bookmarkStart w:id="0" w:name="_GoBack"/>
      <w:bookmarkEnd w:id="0"/>
    </w:p>
    <w:p w14:paraId="35D7FED0" w14:textId="77777777" w:rsidR="001C13D8" w:rsidRPr="00A31B18" w:rsidRDefault="001C13D8">
      <w:pPr>
        <w:ind w:left="720"/>
        <w:rPr>
          <w:rFonts w:ascii="Arial" w:hAnsi="Arial"/>
        </w:rPr>
      </w:pPr>
    </w:p>
    <w:p w14:paraId="5C7E5D47" w14:textId="1F5E3AEA" w:rsidR="001C13D8" w:rsidRDefault="00DE5F55">
      <w:pPr>
        <w:rPr>
          <w:rFonts w:ascii="Arial" w:hAnsi="Arial"/>
        </w:rPr>
      </w:pPr>
      <w:r>
        <w:rPr>
          <w:rFonts w:ascii="Arial" w:hAnsi="Arial"/>
        </w:rPr>
        <w:t xml:space="preserve">A firm’s priority point total is used to place the firm in rank order for initial priority assignment of the national showcase. The firm must submit a space application by the stated deadline and comply with all other requirements in order to participate in the initial priority assignment process.  Any applications that arrive after this deadline will be assigned on a first-come first served basis no matter what priority point total such applicants may have. </w:t>
      </w:r>
    </w:p>
    <w:p w14:paraId="6A8D4832" w14:textId="77777777" w:rsidR="00DE5F55" w:rsidRPr="00A31B18" w:rsidRDefault="00DE5F55">
      <w:pPr>
        <w:rPr>
          <w:rFonts w:ascii="Arial" w:hAnsi="Arial"/>
        </w:rPr>
      </w:pPr>
    </w:p>
    <w:p w14:paraId="76CD5AB6" w14:textId="77777777" w:rsidR="001C13D8" w:rsidRPr="00A31B18" w:rsidRDefault="001C13D8">
      <w:pPr>
        <w:pStyle w:val="Heading2"/>
        <w:rPr>
          <w:rFonts w:ascii="Arial" w:hAnsi="Arial"/>
          <w:b/>
          <w:sz w:val="20"/>
          <w:u w:val="none"/>
        </w:rPr>
      </w:pPr>
      <w:r w:rsidRPr="00A31B18">
        <w:rPr>
          <w:rFonts w:ascii="Arial" w:hAnsi="Arial"/>
          <w:b/>
          <w:sz w:val="20"/>
          <w:u w:val="none"/>
        </w:rPr>
        <w:t>Company Mergers</w:t>
      </w:r>
    </w:p>
    <w:p w14:paraId="3F1DE3DD" w14:textId="77777777" w:rsidR="001C13D8" w:rsidRDefault="001C13D8">
      <w:pPr>
        <w:rPr>
          <w:rFonts w:ascii="Arial" w:hAnsi="Arial"/>
        </w:rPr>
      </w:pPr>
      <w:r w:rsidRPr="00A31B18">
        <w:rPr>
          <w:rFonts w:ascii="Arial" w:hAnsi="Arial"/>
        </w:rPr>
        <w:t>If a company has merged with another company that has accrued NACUFS priority points, the highest accrued points may be retained. Written notification must be sent to NACUFS.</w:t>
      </w:r>
    </w:p>
    <w:p w14:paraId="47BDEB66" w14:textId="77777777" w:rsidR="009A7DCE" w:rsidRDefault="009A7DCE">
      <w:pPr>
        <w:rPr>
          <w:rFonts w:ascii="Arial" w:hAnsi="Arial"/>
        </w:rPr>
      </w:pPr>
    </w:p>
    <w:p w14:paraId="5BFC9081" w14:textId="034086A6" w:rsidR="009A7DCE" w:rsidRDefault="009A7DCE">
      <w:pPr>
        <w:rPr>
          <w:rFonts w:ascii="Arial" w:hAnsi="Arial"/>
          <w:b/>
        </w:rPr>
      </w:pPr>
      <w:r w:rsidRPr="009A7DCE">
        <w:rPr>
          <w:rFonts w:ascii="Arial" w:hAnsi="Arial"/>
          <w:b/>
        </w:rPr>
        <w:t>Point Ownership</w:t>
      </w:r>
    </w:p>
    <w:p w14:paraId="5D7A435A" w14:textId="0561A19E" w:rsidR="009A7DCE" w:rsidRPr="009A7DCE" w:rsidRDefault="009A7DCE">
      <w:pPr>
        <w:rPr>
          <w:rFonts w:ascii="Arial" w:hAnsi="Arial"/>
        </w:rPr>
      </w:pPr>
      <w:r w:rsidRPr="009A7DCE">
        <w:rPr>
          <w:rFonts w:ascii="Arial" w:hAnsi="Arial"/>
        </w:rPr>
        <w:t xml:space="preserve">All points will be assigned and belong to the member that </w:t>
      </w:r>
      <w:r>
        <w:rPr>
          <w:rFonts w:ascii="Arial" w:hAnsi="Arial"/>
        </w:rPr>
        <w:t>is signing the contract.</w:t>
      </w:r>
    </w:p>
    <w:p w14:paraId="78BB76EA" w14:textId="77777777" w:rsidR="001C13D8" w:rsidRPr="00A31B18" w:rsidRDefault="001C13D8">
      <w:pPr>
        <w:rPr>
          <w:rFonts w:ascii="Arial" w:hAnsi="Arial"/>
        </w:rPr>
      </w:pPr>
    </w:p>
    <w:p w14:paraId="4ACDE2D9" w14:textId="77777777" w:rsidR="001C13D8" w:rsidRPr="00A31B18" w:rsidRDefault="001C13D8">
      <w:pPr>
        <w:rPr>
          <w:rFonts w:ascii="Arial" w:hAnsi="Arial"/>
          <w:b/>
        </w:rPr>
      </w:pPr>
      <w:r w:rsidRPr="00A31B18">
        <w:rPr>
          <w:rFonts w:ascii="Arial" w:hAnsi="Arial"/>
          <w:b/>
        </w:rPr>
        <w:t>Time Slot Assignments</w:t>
      </w:r>
    </w:p>
    <w:p w14:paraId="578471C7" w14:textId="77777777" w:rsidR="001C13D8" w:rsidRPr="00A31B18" w:rsidRDefault="001C13D8">
      <w:pPr>
        <w:pStyle w:val="BodyText"/>
        <w:rPr>
          <w:rFonts w:ascii="Arial" w:hAnsi="Arial"/>
          <w:sz w:val="20"/>
        </w:rPr>
      </w:pPr>
      <w:r w:rsidRPr="00A31B18">
        <w:rPr>
          <w:rFonts w:ascii="Arial" w:hAnsi="Arial"/>
          <w:sz w:val="20"/>
        </w:rPr>
        <w:t xml:space="preserve">All exhibitors will be assigned a time slot according to the total priority points earned to date. In order to receive a </w:t>
      </w:r>
      <w:r w:rsidR="003C3202">
        <w:rPr>
          <w:rFonts w:ascii="Arial" w:hAnsi="Arial"/>
          <w:sz w:val="20"/>
        </w:rPr>
        <w:t>space</w:t>
      </w:r>
      <w:r w:rsidRPr="00A31B18">
        <w:rPr>
          <w:rFonts w:ascii="Arial" w:hAnsi="Arial"/>
          <w:sz w:val="20"/>
        </w:rPr>
        <w:t xml:space="preserve"> assignment, a company representative must be present at the specified time. (Time schedule is subject to change.)</w:t>
      </w:r>
    </w:p>
    <w:p w14:paraId="0F0DBC0F" w14:textId="77777777" w:rsidR="001C13D8" w:rsidRPr="00A31B18" w:rsidRDefault="001C13D8">
      <w:pPr>
        <w:rPr>
          <w:rFonts w:ascii="Arial" w:hAnsi="Arial"/>
        </w:rPr>
      </w:pPr>
    </w:p>
    <w:p w14:paraId="1CF439FB" w14:textId="77777777" w:rsidR="001C13D8" w:rsidRPr="00A31B18" w:rsidRDefault="001C13D8">
      <w:pPr>
        <w:rPr>
          <w:rFonts w:ascii="Arial" w:hAnsi="Arial"/>
        </w:rPr>
      </w:pPr>
      <w:r w:rsidRPr="00A31B18">
        <w:rPr>
          <w:rFonts w:ascii="Arial" w:hAnsi="Arial"/>
          <w:b/>
        </w:rPr>
        <w:t>Grouped Booths</w:t>
      </w:r>
      <w:r w:rsidR="00FB5260" w:rsidRPr="00FB5260">
        <w:rPr>
          <w:rFonts w:ascii="Arial" w:hAnsi="Arial"/>
        </w:rPr>
        <w:t xml:space="preserve"> </w:t>
      </w:r>
      <w:r w:rsidRPr="00A31B18">
        <w:rPr>
          <w:rFonts w:ascii="Arial" w:hAnsi="Arial"/>
        </w:rPr>
        <w:t>(two or more companies)</w:t>
      </w:r>
    </w:p>
    <w:p w14:paraId="6061244E" w14:textId="1A637291" w:rsidR="001C13D8" w:rsidRPr="00A31B18" w:rsidRDefault="009B112D">
      <w:pPr>
        <w:pStyle w:val="Heading2"/>
        <w:rPr>
          <w:rFonts w:ascii="Arial" w:hAnsi="Arial"/>
          <w:sz w:val="20"/>
          <w:u w:val="none"/>
        </w:rPr>
      </w:pPr>
      <w:r>
        <w:rPr>
          <w:rFonts w:ascii="Arial" w:hAnsi="Arial"/>
          <w:sz w:val="20"/>
          <w:u w:val="none"/>
        </w:rPr>
        <w:t>Companies</w:t>
      </w:r>
      <w:r w:rsidR="001C13D8" w:rsidRPr="00A31B18">
        <w:rPr>
          <w:rFonts w:ascii="Arial" w:hAnsi="Arial"/>
          <w:sz w:val="20"/>
          <w:u w:val="none"/>
        </w:rPr>
        <w:t xml:space="preserve"> wishing to be placed next to each other mus</w:t>
      </w:r>
      <w:r w:rsidR="006C1039">
        <w:rPr>
          <w:rFonts w:ascii="Arial" w:hAnsi="Arial"/>
          <w:sz w:val="20"/>
          <w:u w:val="none"/>
        </w:rPr>
        <w:t xml:space="preserve">t notify NACUFS prior to </w:t>
      </w:r>
      <w:r w:rsidR="00BA6CB3">
        <w:rPr>
          <w:rFonts w:ascii="Arial" w:hAnsi="Arial"/>
          <w:sz w:val="20"/>
          <w:u w:val="none"/>
        </w:rPr>
        <w:t>the initial priority assignment deadline</w:t>
      </w:r>
      <w:r w:rsidR="001C13D8" w:rsidRPr="00A31B18">
        <w:rPr>
          <w:rFonts w:ascii="Arial" w:hAnsi="Arial"/>
          <w:sz w:val="20"/>
          <w:u w:val="none"/>
        </w:rPr>
        <w:t xml:space="preserve"> to determine the </w:t>
      </w:r>
      <w:r w:rsidR="00B7180D">
        <w:rPr>
          <w:rFonts w:ascii="Arial" w:hAnsi="Arial"/>
          <w:sz w:val="20"/>
          <w:u w:val="none"/>
        </w:rPr>
        <w:t xml:space="preserve">average </w:t>
      </w:r>
      <w:r w:rsidR="001C13D8" w:rsidRPr="00A31B18">
        <w:rPr>
          <w:rFonts w:ascii="Arial" w:hAnsi="Arial"/>
          <w:sz w:val="20"/>
          <w:u w:val="none"/>
        </w:rPr>
        <w:t xml:space="preserve">priority points and </w:t>
      </w:r>
      <w:r w:rsidR="00B7180D">
        <w:rPr>
          <w:rFonts w:ascii="Arial" w:hAnsi="Arial"/>
          <w:sz w:val="20"/>
          <w:u w:val="none"/>
        </w:rPr>
        <w:t>related</w:t>
      </w:r>
      <w:r w:rsidR="001C13D8" w:rsidRPr="00A31B18">
        <w:rPr>
          <w:rFonts w:ascii="Arial" w:hAnsi="Arial"/>
          <w:sz w:val="20"/>
          <w:u w:val="none"/>
        </w:rPr>
        <w:t xml:space="preserve"> time slot. Every effort will </w:t>
      </w:r>
      <w:r w:rsidR="00B229A6">
        <w:rPr>
          <w:rFonts w:ascii="Arial" w:hAnsi="Arial"/>
          <w:sz w:val="20"/>
          <w:u w:val="none"/>
        </w:rPr>
        <w:t xml:space="preserve">be made to make space available however there is no guarantee </w:t>
      </w:r>
      <w:r w:rsidR="001C13D8" w:rsidRPr="00A31B18">
        <w:rPr>
          <w:rFonts w:ascii="Arial" w:hAnsi="Arial"/>
          <w:sz w:val="20"/>
          <w:u w:val="none"/>
        </w:rPr>
        <w:t>of adjacent space.</w:t>
      </w:r>
    </w:p>
    <w:p w14:paraId="09BAA12D" w14:textId="77777777" w:rsidR="001C13D8" w:rsidRPr="00A31B18" w:rsidRDefault="001C13D8">
      <w:pPr>
        <w:pStyle w:val="BodyText"/>
        <w:rPr>
          <w:rFonts w:ascii="Arial" w:hAnsi="Arial"/>
          <w:sz w:val="20"/>
        </w:rPr>
      </w:pPr>
    </w:p>
    <w:p w14:paraId="57C5F0D8" w14:textId="77777777" w:rsidR="001C13D8" w:rsidRPr="00A31B18" w:rsidRDefault="001C13D8">
      <w:pPr>
        <w:pStyle w:val="BodyText"/>
        <w:rPr>
          <w:rFonts w:ascii="Arial" w:hAnsi="Arial"/>
          <w:b/>
          <w:sz w:val="20"/>
        </w:rPr>
      </w:pPr>
      <w:r w:rsidRPr="00A31B18">
        <w:rPr>
          <w:rFonts w:ascii="Arial" w:hAnsi="Arial"/>
          <w:b/>
          <w:sz w:val="20"/>
        </w:rPr>
        <w:t>Disputing Accrued Priority Points</w:t>
      </w:r>
    </w:p>
    <w:p w14:paraId="5FB582D5" w14:textId="77777777" w:rsidR="001C13D8" w:rsidRPr="00A31B18" w:rsidRDefault="001C13D8">
      <w:pPr>
        <w:pStyle w:val="BodyText"/>
        <w:rPr>
          <w:rFonts w:ascii="Arial" w:hAnsi="Arial"/>
          <w:sz w:val="20"/>
        </w:rPr>
      </w:pPr>
      <w:r w:rsidRPr="00A31B18">
        <w:rPr>
          <w:rFonts w:ascii="Arial" w:hAnsi="Arial"/>
          <w:sz w:val="20"/>
        </w:rPr>
        <w:t xml:space="preserve">Companies will be notified in April of their priority points and their time slot. If a company disagrees with its priority points, the company will need to send documentation and its re-calculated points by May </w:t>
      </w:r>
      <w:r w:rsidR="00B7180D">
        <w:rPr>
          <w:rFonts w:ascii="Arial" w:hAnsi="Arial"/>
          <w:sz w:val="20"/>
        </w:rPr>
        <w:t>31</w:t>
      </w:r>
      <w:r w:rsidRPr="00A31B18">
        <w:rPr>
          <w:rFonts w:ascii="Arial" w:hAnsi="Arial"/>
          <w:sz w:val="20"/>
        </w:rPr>
        <w:t xml:space="preserve"> to the association office.</w:t>
      </w:r>
    </w:p>
    <w:p w14:paraId="51690297" w14:textId="77777777" w:rsidR="001C13D8" w:rsidRDefault="001C13D8">
      <w:pPr>
        <w:pStyle w:val="BodyText"/>
        <w:rPr>
          <w:rFonts w:ascii="Arial" w:hAnsi="Arial"/>
          <w:sz w:val="20"/>
        </w:rPr>
      </w:pPr>
    </w:p>
    <w:p w14:paraId="742ED2D4" w14:textId="47B9FBA1" w:rsidR="00BA6CB3" w:rsidRDefault="00BA6CB3">
      <w:pPr>
        <w:pStyle w:val="BodyText"/>
        <w:rPr>
          <w:rFonts w:ascii="Arial" w:hAnsi="Arial"/>
          <w:sz w:val="20"/>
        </w:rPr>
      </w:pPr>
      <w:r>
        <w:rPr>
          <w:rFonts w:ascii="Arial" w:hAnsi="Arial"/>
          <w:sz w:val="20"/>
        </w:rPr>
        <w:t>Priority point totals are cumulative (3 year total) and not ordinarily subject to change. However, points may be cancelled for failure to pay monies due to the Association, for deliberate and repeated violation of conference and showcase regulations, or for deliberately conducting sales activities without having qualified as an exhibitor.</w:t>
      </w:r>
    </w:p>
    <w:p w14:paraId="087D3DD6" w14:textId="77777777" w:rsidR="00BA6CB3" w:rsidRDefault="00BA6CB3">
      <w:pPr>
        <w:pStyle w:val="BodyText"/>
        <w:rPr>
          <w:rFonts w:ascii="Arial" w:hAnsi="Arial"/>
          <w:sz w:val="20"/>
        </w:rPr>
      </w:pPr>
    </w:p>
    <w:p w14:paraId="44F734DE" w14:textId="2CA9E93D" w:rsidR="00BA6CB3" w:rsidRPr="00A31B18" w:rsidRDefault="00BA6CB3">
      <w:pPr>
        <w:pStyle w:val="BodyText"/>
        <w:rPr>
          <w:rFonts w:ascii="Arial" w:hAnsi="Arial"/>
          <w:sz w:val="20"/>
        </w:rPr>
      </w:pPr>
    </w:p>
    <w:sectPr w:rsidR="00BA6CB3" w:rsidRPr="00A31B18" w:rsidSect="006711D1">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1B0F"/>
    <w:multiLevelType w:val="hybridMultilevel"/>
    <w:tmpl w:val="A2286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F03D9"/>
    <w:multiLevelType w:val="singleLevel"/>
    <w:tmpl w:val="F6B04086"/>
    <w:lvl w:ilvl="0">
      <w:start w:val="1"/>
      <w:numFmt w:val="decimal"/>
      <w:lvlText w:val="%1"/>
      <w:lvlJc w:val="left"/>
      <w:pPr>
        <w:tabs>
          <w:tab w:val="num" w:pos="360"/>
        </w:tabs>
        <w:ind w:left="360" w:hanging="360"/>
      </w:pPr>
      <w:rPr>
        <w:rFonts w:hint="default"/>
      </w:rPr>
    </w:lvl>
  </w:abstractNum>
  <w:abstractNum w:abstractNumId="2" w15:restartNumberingAfterBreak="0">
    <w:nsid w:val="225E1832"/>
    <w:multiLevelType w:val="singleLevel"/>
    <w:tmpl w:val="F6B04086"/>
    <w:lvl w:ilvl="0">
      <w:start w:val="1"/>
      <w:numFmt w:val="decimal"/>
      <w:lvlText w:val="%1"/>
      <w:lvlJc w:val="left"/>
      <w:pPr>
        <w:tabs>
          <w:tab w:val="num" w:pos="360"/>
        </w:tabs>
        <w:ind w:left="360" w:hanging="360"/>
      </w:pPr>
      <w:rPr>
        <w:rFonts w:hint="default"/>
      </w:rPr>
    </w:lvl>
  </w:abstractNum>
  <w:abstractNum w:abstractNumId="3" w15:restartNumberingAfterBreak="0">
    <w:nsid w:val="29CC409D"/>
    <w:multiLevelType w:val="hybridMultilevel"/>
    <w:tmpl w:val="2CC60DFC"/>
    <w:lvl w:ilvl="0" w:tplc="0114B538">
      <w:start w:val="1"/>
      <w:numFmt w:val="bullet"/>
      <w:lvlText w:val=""/>
      <w:lvlJc w:val="left"/>
      <w:pPr>
        <w:tabs>
          <w:tab w:val="num" w:pos="216"/>
        </w:tabs>
        <w:ind w:left="1440" w:hanging="1800"/>
      </w:pPr>
      <w:rPr>
        <w:rFonts w:ascii="Symbol" w:hAnsi="Symbol" w:hint="default"/>
        <w:color w:val="auto"/>
      </w:rPr>
    </w:lvl>
    <w:lvl w:ilvl="1" w:tplc="3CDAEE72">
      <w:start w:val="1"/>
      <w:numFmt w:val="bullet"/>
      <w:lvlText w:val=""/>
      <w:lvlJc w:val="left"/>
      <w:pPr>
        <w:tabs>
          <w:tab w:val="num" w:pos="144"/>
        </w:tabs>
        <w:ind w:left="144"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372B2"/>
    <w:multiLevelType w:val="singleLevel"/>
    <w:tmpl w:val="AA9CC6F6"/>
    <w:lvl w:ilvl="0">
      <w:start w:val="1"/>
      <w:numFmt w:val="decimal"/>
      <w:lvlText w:val="%1"/>
      <w:lvlJc w:val="left"/>
      <w:pPr>
        <w:tabs>
          <w:tab w:val="num" w:pos="720"/>
        </w:tabs>
        <w:ind w:left="720" w:hanging="720"/>
      </w:pPr>
      <w:rPr>
        <w:rFonts w:hint="default"/>
      </w:rPr>
    </w:lvl>
  </w:abstractNum>
  <w:abstractNum w:abstractNumId="5" w15:restartNumberingAfterBreak="0">
    <w:nsid w:val="39BD41AC"/>
    <w:multiLevelType w:val="hybridMultilevel"/>
    <w:tmpl w:val="F7C85098"/>
    <w:lvl w:ilvl="0" w:tplc="0F52F978">
      <w:start w:val="2009"/>
      <w:numFmt w:val="bullet"/>
      <w:lvlText w:val=""/>
      <w:lvlJc w:val="left"/>
      <w:pPr>
        <w:tabs>
          <w:tab w:val="num" w:pos="720"/>
        </w:tabs>
        <w:ind w:left="720" w:hanging="360"/>
      </w:pPr>
      <w:rPr>
        <w:rFonts w:ascii="Wingdings" w:eastAsia="Times New Roman" w:hAnsi="Wingdings" w:cs="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51A87"/>
    <w:multiLevelType w:val="singleLevel"/>
    <w:tmpl w:val="AF04BDC2"/>
    <w:lvl w:ilvl="0">
      <w:start w:val="1"/>
      <w:numFmt w:val="decimal"/>
      <w:lvlText w:val="%1"/>
      <w:lvlJc w:val="left"/>
      <w:pPr>
        <w:tabs>
          <w:tab w:val="num" w:pos="720"/>
        </w:tabs>
        <w:ind w:left="720" w:hanging="720"/>
      </w:pPr>
      <w:rPr>
        <w:rFonts w:hint="default"/>
      </w:rPr>
    </w:lvl>
  </w:abstractNum>
  <w:abstractNum w:abstractNumId="7" w15:restartNumberingAfterBreak="0">
    <w:nsid w:val="65274CC5"/>
    <w:multiLevelType w:val="singleLevel"/>
    <w:tmpl w:val="F0C094B6"/>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65FF30AC"/>
    <w:multiLevelType w:val="singleLevel"/>
    <w:tmpl w:val="06ECC792"/>
    <w:lvl w:ilvl="0">
      <w:start w:val="1"/>
      <w:numFmt w:val="decimal"/>
      <w:lvlText w:val="%1"/>
      <w:lvlJc w:val="left"/>
      <w:pPr>
        <w:tabs>
          <w:tab w:val="num" w:pos="450"/>
        </w:tabs>
        <w:ind w:left="450" w:hanging="450"/>
      </w:pPr>
      <w:rPr>
        <w:rFonts w:hint="default"/>
      </w:rPr>
    </w:lvl>
  </w:abstractNum>
  <w:num w:numId="1">
    <w:abstractNumId w:val="7"/>
  </w:num>
  <w:num w:numId="2">
    <w:abstractNumId w:val="2"/>
  </w:num>
  <w:num w:numId="3">
    <w:abstractNumId w:val="6"/>
  </w:num>
  <w:num w:numId="4">
    <w:abstractNumId w:val="4"/>
  </w:num>
  <w:num w:numId="5">
    <w:abstractNumId w:val="1"/>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18"/>
    <w:rsid w:val="0004185F"/>
    <w:rsid w:val="00110A40"/>
    <w:rsid w:val="00126459"/>
    <w:rsid w:val="00130AA2"/>
    <w:rsid w:val="00185A2A"/>
    <w:rsid w:val="00192F2F"/>
    <w:rsid w:val="001A0FAB"/>
    <w:rsid w:val="001C13D8"/>
    <w:rsid w:val="001D21C0"/>
    <w:rsid w:val="00236B4A"/>
    <w:rsid w:val="002D443A"/>
    <w:rsid w:val="002E7E20"/>
    <w:rsid w:val="002F7FAD"/>
    <w:rsid w:val="0031215C"/>
    <w:rsid w:val="00312A84"/>
    <w:rsid w:val="003C3202"/>
    <w:rsid w:val="00430660"/>
    <w:rsid w:val="004672EA"/>
    <w:rsid w:val="0049540F"/>
    <w:rsid w:val="00550D18"/>
    <w:rsid w:val="005C3DBA"/>
    <w:rsid w:val="006021FB"/>
    <w:rsid w:val="00611197"/>
    <w:rsid w:val="00635D12"/>
    <w:rsid w:val="006711D1"/>
    <w:rsid w:val="006C1039"/>
    <w:rsid w:val="00703B09"/>
    <w:rsid w:val="00761137"/>
    <w:rsid w:val="008A68AE"/>
    <w:rsid w:val="0095615E"/>
    <w:rsid w:val="009A7DCE"/>
    <w:rsid w:val="009B112D"/>
    <w:rsid w:val="00A04CE4"/>
    <w:rsid w:val="00A31B18"/>
    <w:rsid w:val="00A73BC2"/>
    <w:rsid w:val="00A80D21"/>
    <w:rsid w:val="00B04C75"/>
    <w:rsid w:val="00B10836"/>
    <w:rsid w:val="00B229A6"/>
    <w:rsid w:val="00B311B2"/>
    <w:rsid w:val="00B54C2E"/>
    <w:rsid w:val="00B7180D"/>
    <w:rsid w:val="00BA0196"/>
    <w:rsid w:val="00BA6CB3"/>
    <w:rsid w:val="00BC68EB"/>
    <w:rsid w:val="00C73791"/>
    <w:rsid w:val="00C95445"/>
    <w:rsid w:val="00CD22C8"/>
    <w:rsid w:val="00D173AD"/>
    <w:rsid w:val="00D964F7"/>
    <w:rsid w:val="00DE5F55"/>
    <w:rsid w:val="00E04A4E"/>
    <w:rsid w:val="00E06A70"/>
    <w:rsid w:val="00E65244"/>
    <w:rsid w:val="00E7526A"/>
    <w:rsid w:val="00F7250C"/>
    <w:rsid w:val="00F85E97"/>
    <w:rsid w:val="00F957C1"/>
    <w:rsid w:val="00FB2E0F"/>
    <w:rsid w:val="00FB5260"/>
    <w:rsid w:val="00FC0745"/>
    <w:rsid w:val="00FD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F62EC"/>
  <w15:docId w15:val="{CF406743-FD92-4959-9B04-C771521F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Footlight MT Light" w:hAnsi="Footlight MT Light"/>
      <w:sz w:val="24"/>
    </w:rPr>
  </w:style>
  <w:style w:type="paragraph" w:styleId="Heading2">
    <w:name w:val="heading 2"/>
    <w:basedOn w:val="Normal"/>
    <w:next w:val="Normal"/>
    <w:qFormat/>
    <w:pPr>
      <w:keepNext/>
      <w:outlineLvl w:val="1"/>
    </w:pPr>
    <w:rPr>
      <w:rFonts w:ascii="Footlight MT Light" w:hAnsi="Footlight MT Light"/>
      <w:sz w:val="24"/>
      <w:u w:val="single"/>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rFonts w:ascii="Footlight MT Light" w:hAnsi="Footlight MT Light"/>
      <w:sz w:val="23"/>
    </w:rPr>
  </w:style>
  <w:style w:type="paragraph" w:styleId="BodyTextIndent">
    <w:name w:val="Body Text Indent"/>
    <w:basedOn w:val="Normal"/>
    <w:pPr>
      <w:tabs>
        <w:tab w:val="left" w:pos="-720"/>
        <w:tab w:val="left" w:pos="720"/>
        <w:tab w:val="left" w:pos="1170"/>
      </w:tabs>
      <w:suppressAutoHyphens/>
      <w:ind w:left="720" w:hanging="720"/>
    </w:pPr>
    <w:rPr>
      <w:rFonts w:ascii="Arial" w:hAnsi="Arial"/>
      <w:sz w:val="23"/>
    </w:rPr>
  </w:style>
  <w:style w:type="paragraph" w:styleId="BodyTextIndent2">
    <w:name w:val="Body Text Indent 2"/>
    <w:basedOn w:val="Normal"/>
    <w:pPr>
      <w:ind w:left="720" w:hanging="720"/>
    </w:pPr>
    <w:rPr>
      <w:rFonts w:ascii="Arial" w:hAnsi="Arial"/>
      <w:sz w:val="22"/>
    </w:rPr>
  </w:style>
  <w:style w:type="paragraph" w:styleId="BodyTextIndent3">
    <w:name w:val="Body Text Indent 3"/>
    <w:basedOn w:val="Normal"/>
    <w:pPr>
      <w:ind w:left="450" w:hanging="450"/>
    </w:pPr>
    <w:rPr>
      <w:rFonts w:ascii="Arial" w:hAnsi="Arial"/>
      <w:sz w:val="22"/>
    </w:rPr>
  </w:style>
  <w:style w:type="character" w:styleId="Hyperlink">
    <w:name w:val="Hyperlink"/>
    <w:rsid w:val="00FD46C2"/>
    <w:rPr>
      <w:color w:val="0000FF"/>
      <w:u w:val="single"/>
    </w:rPr>
  </w:style>
  <w:style w:type="paragraph" w:styleId="BalloonText">
    <w:name w:val="Balloon Text"/>
    <w:basedOn w:val="Normal"/>
    <w:link w:val="BalloonTextChar"/>
    <w:rsid w:val="00A73BC2"/>
    <w:rPr>
      <w:rFonts w:ascii="Tahoma" w:hAnsi="Tahoma" w:cs="Tahoma"/>
      <w:sz w:val="16"/>
      <w:szCs w:val="16"/>
    </w:rPr>
  </w:style>
  <w:style w:type="character" w:customStyle="1" w:styleId="BalloonTextChar">
    <w:name w:val="Balloon Text Char"/>
    <w:link w:val="BalloonText"/>
    <w:rsid w:val="00A73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25ECA3017A44B8933B019E29EF68F" ma:contentTypeVersion="8" ma:contentTypeDescription="Create a new document." ma:contentTypeScope="" ma:versionID="effb1ed594c0f12408a9412dcc5d039c">
  <xsd:schema xmlns:xsd="http://www.w3.org/2001/XMLSchema" xmlns:xs="http://www.w3.org/2001/XMLSchema" xmlns:p="http://schemas.microsoft.com/office/2006/metadata/properties" xmlns:ns2="43503510-0e65-4e24-8734-52cb29a50647" targetNamespace="http://schemas.microsoft.com/office/2006/metadata/properties" ma:root="true" ma:fieldsID="84fe4d234b248cbd8e7412137245b5a6" ns2:_="">
    <xsd:import namespace="43503510-0e65-4e24-8734-52cb29a50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03510-0e65-4e24-8734-52cb29a50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F22B5-A32D-4BF8-B1CF-FA92D4D4F5D3}"/>
</file>

<file path=customXml/itemProps2.xml><?xml version="1.0" encoding="utf-8"?>
<ds:datastoreItem xmlns:ds="http://schemas.openxmlformats.org/officeDocument/2006/customXml" ds:itemID="{7CB0D911-6F4F-480D-97F2-170A9F5A572F}"/>
</file>

<file path=customXml/itemProps3.xml><?xml version="1.0" encoding="utf-8"?>
<ds:datastoreItem xmlns:ds="http://schemas.openxmlformats.org/officeDocument/2006/customXml" ds:itemID="{6D966659-0839-4237-B18C-05E22CD21127}"/>
</file>

<file path=docProps/app.xml><?xml version="1.0" encoding="utf-8"?>
<Properties xmlns="http://schemas.openxmlformats.org/officeDocument/2006/extended-properties" xmlns:vt="http://schemas.openxmlformats.org/officeDocument/2006/docPropsVTypes">
  <Template>Normal</Template>
  <TotalTime>17</TotalTime>
  <Pages>1</Pages>
  <Words>521</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Booth Assignment Process</vt:lpstr>
    </vt:vector>
  </TitlesOfParts>
  <Company>ASFSA</Company>
  <LinksUpToDate>false</LinksUpToDate>
  <CharactersWithSpaces>3450</CharactersWithSpaces>
  <SharedDoc>false</SharedDoc>
  <HLinks>
    <vt:vector size="6" baseType="variant">
      <vt:variant>
        <vt:i4>6094969</vt:i4>
      </vt:variant>
      <vt:variant>
        <vt:i4>0</vt:i4>
      </vt:variant>
      <vt:variant>
        <vt:i4>0</vt:i4>
      </vt:variant>
      <vt:variant>
        <vt:i4>5</vt:i4>
      </vt:variant>
      <vt:variant>
        <vt:lpwstr>mailto:maldrich@nacufs.org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 Assignment Process</dc:title>
  <dc:creator>KAK</dc:creator>
  <cp:lastModifiedBy>Karen Ciaramella</cp:lastModifiedBy>
  <cp:revision>5</cp:revision>
  <cp:lastPrinted>2018-08-13T19:37:00Z</cp:lastPrinted>
  <dcterms:created xsi:type="dcterms:W3CDTF">2019-03-26T16:48:00Z</dcterms:created>
  <dcterms:modified xsi:type="dcterms:W3CDTF">2019-03-27T14:08:00Z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0x01010012525ECA3017A44B8933B019E29EF68F</vt:lpwstr>
  </property>
  <property fmtid="{D5CDD505-2E9C-101B-9397-08002B2CF9AE}" pid="3" name="Order">
    <vt:r8>15424800</vt:r8>
  </property>
</Properties>
</file>